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left="0" w:right="0" w:firstLine="0"/>
        <w:spacing w:beforeAutospacing="1" w:afterAutospacing="1" w:line="480" w:lineRule="exact"/>
        <w:tabs>
          <w:tab w:val="clear" w:pos="720" w:leader="none"/>
          <w:tab w:val="center" w:pos="4677" w:leader="none"/>
          <w:tab w:val="left" w:pos="7860" w:leader="none"/>
        </w:tabs>
      </w:pPr>
      <w:r>
        <w:rPr>
          <w:bCs/>
          <w:sz w:val="32"/>
          <w:szCs w:val="32"/>
        </w:rPr>
        <w:t xml:space="preserve">                                                                   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posOffset>2880853</wp:posOffset>
                </wp:positionH>
                <wp:positionV relativeFrom="paragraph">
                  <wp:posOffset>-46990</wp:posOffset>
                </wp:positionV>
                <wp:extent cx="647700" cy="762000"/>
                <wp:effectExtent l="0" t="0" r="0" b="0"/>
                <wp:wrapNone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26.84pt;mso-position-horizontal:absolute;mso-position-vertical-relative:text;margin-top:-3.70pt;mso-position-vertical:absolute;width:51.00pt;height:60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762000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1.00pt;height:60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Cs/>
          <w:sz w:val="32"/>
          <w:szCs w:val="32"/>
        </w:rPr>
        <w:t xml:space="preserve">                                  </w:t>
      </w:r>
      <w:r/>
    </w:p>
    <w:p>
      <w:pPr>
        <w:pStyle w:val="636"/>
        <w:ind w:left="0" w:right="0" w:firstLine="0"/>
        <w:jc w:val="center"/>
        <w:spacing w:line="276" w:lineRule="auto"/>
        <w:tabs>
          <w:tab w:val="clear" w:pos="720" w:leader="no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6"/>
        <w:ind w:left="0" w:right="0" w:firstLine="0"/>
        <w:jc w:val="center"/>
        <w:tabs>
          <w:tab w:val="clear" w:pos="720" w:leader="none"/>
          <w:tab w:val="left" w:pos="1843" w:leader="none"/>
        </w:tabs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</w:t>
      </w:r>
      <w:r/>
    </w:p>
    <w:p>
      <w:pPr>
        <w:pStyle w:val="636"/>
        <w:ind w:left="0" w:right="0" w:firstLine="0"/>
        <w:jc w:val="center"/>
        <w:tabs>
          <w:tab w:val="clear" w:pos="720" w:leader="none"/>
          <w:tab w:val="left" w:pos="1843" w:leader="none"/>
        </w:tabs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</w:t>
      </w:r>
      <w:r/>
    </w:p>
    <w:p>
      <w:pPr>
        <w:pStyle w:val="636"/>
        <w:ind w:left="0" w:right="0" w:firstLine="0"/>
        <w:jc w:val="center"/>
        <w:tabs>
          <w:tab w:val="clear" w:pos="720" w:leader="none"/>
          <w:tab w:val="left" w:pos="1843" w:leader="none"/>
        </w:tabs>
      </w:pPr>
      <w:r>
        <w:rPr>
          <w:rFonts w:ascii="Times New Roman" w:hAnsi="Times New Roman"/>
          <w:b/>
          <w:sz w:val="28"/>
          <w:szCs w:val="28"/>
        </w:rPr>
        <w:t xml:space="preserve">Боровичский район</w:t>
      </w:r>
      <w:r/>
    </w:p>
    <w:p>
      <w:pPr>
        <w:pStyle w:val="636"/>
        <w:ind w:left="0" w:right="0" w:firstLine="0"/>
        <w:jc w:val="center"/>
        <w:spacing w:line="276" w:lineRule="auto"/>
        <w:tabs>
          <w:tab w:val="clear" w:pos="720" w:leader="none"/>
          <w:tab w:val="left" w:pos="1843" w:leader="none"/>
        </w:tabs>
      </w:pPr>
      <w:r>
        <w:rPr>
          <w:rFonts w:ascii="Times New Roman" w:hAnsi="Times New Roman"/>
          <w:b/>
          <w:sz w:val="28"/>
          <w:szCs w:val="28"/>
        </w:rPr>
        <w:t xml:space="preserve">АДМИНИСТРАЦИЯ ВОЛОКСКОГО СЕЛЬСКОГО ПОСЕЛЕНИЯ</w:t>
      </w:r>
      <w:r/>
    </w:p>
    <w:p>
      <w:pPr>
        <w:pStyle w:val="636"/>
        <w:ind w:left="0" w:right="0" w:firstLine="0"/>
        <w:jc w:val="center"/>
        <w:spacing w:before="0" w:after="0"/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</w:t>
      </w:r>
      <w:r/>
    </w:p>
    <w:p>
      <w:pPr>
        <w:pStyle w:val="636"/>
        <w:ind w:left="0" w:right="0" w:firstLine="0"/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36"/>
        <w:ind w:left="0" w:right="0" w:firstLine="0"/>
        <w:jc w:val="center"/>
        <w:spacing w:before="0" w:after="0"/>
      </w:pPr>
      <w:r>
        <w:rPr>
          <w:rFonts w:ascii="Times New Roman" w:hAnsi="Times New Roman"/>
          <w:b/>
          <w:bCs/>
          <w:sz w:val="28"/>
          <w:szCs w:val="28"/>
        </w:rPr>
        <w:t xml:space="preserve">от    06.06.2024  №17</w:t>
      </w:r>
      <w:r/>
    </w:p>
    <w:p>
      <w:pPr>
        <w:pStyle w:val="636"/>
        <w:ind w:left="0" w:right="0" w:firstLine="0"/>
        <w:jc w:val="center"/>
        <w:spacing w:before="0" w:after="0"/>
      </w:pPr>
      <w:r>
        <w:rPr>
          <w:rFonts w:ascii="Times New Roman" w:hAnsi="Times New Roman"/>
          <w:sz w:val="28"/>
          <w:szCs w:val="28"/>
        </w:rPr>
        <w:t xml:space="preserve">д.Волок</w:t>
      </w:r>
      <w:r/>
    </w:p>
    <w:p>
      <w:pPr>
        <w:pStyle w:val="636"/>
        <w:numPr>
          <w:ilvl w:val="0"/>
          <w:numId w:val="0"/>
        </w:numPr>
        <w:ind w:left="0" w:right="0" w:firstLine="0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left="0" w:right="0" w:firstLine="0"/>
        <w:jc w:val="both"/>
        <w:spacing w:before="0" w:after="0"/>
        <w:widowControl w:val="off"/>
      </w:pPr>
      <w:r>
        <w:rPr>
          <w:rFonts w:ascii="Times New Roman" w:hAnsi="Times New Roman"/>
          <w:b/>
          <w:sz w:val="28"/>
          <w:szCs w:val="28"/>
        </w:rPr>
        <w:t xml:space="preserve">Об утверждении методики оценки эффективности налоговых расходов    Волокского сельского поселения по местным налогам</w:t>
      </w:r>
      <w:r/>
    </w:p>
    <w:p>
      <w:pPr>
        <w:pStyle w:val="648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ind w:left="0" w:right="0" w:firstLine="426"/>
        <w:jc w:val="both"/>
        <w:spacing w:before="0" w:after="0"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12" w:tooltip="consultantplus://offline/ref=FF885A10E2B19CE194644743E15DBB9794E7D0DC87B072F9FD5E4426EDA7F4C68007AD315F0C58C98A8244AF5B0ECBEB2D36DC14F8E9f3CCD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статьей 174.3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13" w:tooltip="consultantplus://offline/ref=FF885A10E2B19CE194644743E15DBB9794E6D7DC8CBA72F9FD5E4426EDA7F4C68007AD34580A5FC0DBD854AB125BC1F52B29C317E6EA35D0f1C9D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</w:t>
      </w:r>
      <w:r>
        <w:rPr>
          <w:rFonts w:ascii="Times New Roman" w:hAnsi="Times New Roman"/>
          <w:sz w:val="28"/>
          <w:szCs w:val="28"/>
        </w:rPr>
        <w:t xml:space="preserve">постановлением   </w:t>
      </w:r>
      <w:bookmarkStart w:id="0" w:name="_Hlk159843917"/>
      <w:r>
        <w:rPr>
          <w:rFonts w:ascii="Times New Roman" w:hAnsi="Times New Roman"/>
          <w:sz w:val="28"/>
          <w:szCs w:val="28"/>
        </w:rPr>
        <w:t xml:space="preserve">Волокского</w:t>
      </w:r>
      <w:bookmarkEnd w:id="0"/>
      <w:r>
        <w:rPr>
          <w:rFonts w:ascii="Times New Roman" w:hAnsi="Times New Roman"/>
          <w:sz w:val="28"/>
          <w:szCs w:val="28"/>
        </w:rPr>
        <w:t xml:space="preserve"> сельского поселения от 27.03.2020 № 15 «Об утверждении Порядка формирования перечня налоговых расходов Волокского сельского поселения и оценки налоговых расходов Волокского сельского»</w:t>
      </w:r>
      <w:r/>
    </w:p>
    <w:p>
      <w:pPr>
        <w:pStyle w:val="648"/>
        <w:ind w:left="0" w:right="0" w:firstLine="0"/>
      </w:pPr>
      <w:r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Волокского</w:t>
      </w:r>
      <w:r>
        <w:rPr>
          <w:bCs/>
          <w:sz w:val="28"/>
          <w:szCs w:val="28"/>
        </w:rPr>
        <w:t xml:space="preserve"> сельского поселения</w:t>
      </w:r>
      <w:r/>
    </w:p>
    <w:p>
      <w:pPr>
        <w:pStyle w:val="648"/>
        <w:ind w:left="0" w:right="0" w:firstLine="0"/>
        <w:jc w:val="both"/>
      </w:pPr>
      <w:r>
        <w:rPr>
          <w:b/>
          <w:sz w:val="28"/>
          <w:szCs w:val="28"/>
        </w:rPr>
        <w:t xml:space="preserve">ПОСТАНОВЛЯЕТ:</w:t>
      </w:r>
      <w:r/>
    </w:p>
    <w:p>
      <w:pPr>
        <w:pStyle w:val="648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ind w:left="0" w:right="0" w:firstLine="426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1. Утвердить Методику оценки эффективности налоговых расходов </w:t>
      </w:r>
      <w:r>
        <w:rPr>
          <w:rFonts w:ascii="Times New Roman" w:hAnsi="Times New Roman"/>
          <w:sz w:val="28"/>
          <w:szCs w:val="28"/>
        </w:rPr>
        <w:t xml:space="preserve">Волокского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(прилагается).</w:t>
      </w:r>
      <w:r/>
    </w:p>
    <w:p>
      <w:pPr>
        <w:pStyle w:val="660"/>
        <w:ind w:left="0" w:right="0" w:firstLine="426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  <w:r/>
    </w:p>
    <w:p>
      <w:pPr>
        <w:pStyle w:val="660"/>
        <w:ind w:left="0" w:right="0" w:firstLine="426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3. Контроль за исполнением настоящего постановления оставляю за собой.</w:t>
      </w:r>
      <w:r/>
    </w:p>
    <w:p>
      <w:pPr>
        <w:pStyle w:val="636"/>
        <w:ind w:left="0" w:right="0" w:firstLine="0"/>
        <w:jc w:val="both"/>
        <w:spacing w:before="0"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648"/>
        <w:ind w:left="0" w:right="0" w:firstLine="540"/>
        <w:jc w:val="both"/>
        <w:spacing w:before="240" w:after="2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0" w:right="0" w:firstLine="540"/>
        <w:jc w:val="both"/>
        <w:spacing w:before="240" w:after="2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left="0" w:right="0" w:firstLine="0"/>
      </w:pPr>
      <w:r>
        <w:rPr>
          <w:rFonts w:ascii="Times New Roman" w:hAnsi="Times New Roman"/>
          <w:sz w:val="28"/>
          <w:szCs w:val="28"/>
        </w:rPr>
        <w:t xml:space="preserve">Глава сельского поселения                                                                Н.Н. Петрова      </w:t>
      </w:r>
      <w:r/>
    </w:p>
    <w:p>
      <w:pPr>
        <w:pStyle w:val="660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left="0" w:right="0" w:firstLine="0"/>
        <w:jc w:val="center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left="0" w:right="0" w:firstLine="0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6"/>
        <w:ind w:left="0" w:right="0" w:firstLine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numPr>
          <w:ilvl w:val="0"/>
          <w:numId w:val="0"/>
        </w:numPr>
        <w:ind w:left="0" w:right="0" w:firstLine="0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8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0" w:right="0" w:firstLine="0"/>
        <w:jc w:val="right"/>
      </w:pPr>
      <w:r>
        <w:rPr>
          <w:sz w:val="28"/>
          <w:szCs w:val="28"/>
        </w:rPr>
        <w:t xml:space="preserve">Утверждена:</w:t>
      </w:r>
      <w:r/>
    </w:p>
    <w:p>
      <w:pPr>
        <w:pStyle w:val="648"/>
        <w:ind w:left="0" w:right="0" w:firstLine="0"/>
        <w:jc w:val="righ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/>
    </w:p>
    <w:p>
      <w:pPr>
        <w:pStyle w:val="648"/>
        <w:ind w:left="0" w:right="0" w:firstLine="0"/>
        <w:jc w:val="right"/>
      </w:pPr>
      <w:r>
        <w:rPr>
          <w:sz w:val="28"/>
          <w:szCs w:val="28"/>
        </w:rPr>
        <w:t xml:space="preserve">Волокского сельского поселения</w:t>
      </w:r>
      <w:r/>
    </w:p>
    <w:p>
      <w:pPr>
        <w:pStyle w:val="648"/>
        <w:ind w:left="0" w:right="0" w:firstLine="0"/>
        <w:jc w:val="right"/>
      </w:pPr>
      <w:r>
        <w:rPr>
          <w:sz w:val="28"/>
          <w:szCs w:val="28"/>
        </w:rPr>
        <w:t xml:space="preserve">от 06.06.2024 №17 </w:t>
      </w:r>
      <w:r/>
    </w:p>
    <w:p>
      <w:pPr>
        <w:pStyle w:val="648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0" w:right="0" w:firstLine="0"/>
        <w:jc w:val="center"/>
      </w:pPr>
      <w:r>
        <w:rPr>
          <w:b/>
          <w:sz w:val="28"/>
          <w:szCs w:val="28"/>
        </w:rPr>
        <w:t xml:space="preserve">Методика оценки эффективности налоговых расходов Волокского сельского поселения по местным налогам</w:t>
      </w:r>
      <w:r/>
    </w:p>
    <w:p>
      <w:pPr>
        <w:pStyle w:val="636"/>
        <w:ind w:left="0" w:right="0" w:firstLine="709"/>
        <w:spacing w:before="0" w:after="120" w:line="360" w:lineRule="atLeast"/>
        <w:widowControl w:val="off"/>
      </w:pPr>
      <w:r>
        <w:rPr>
          <w:rFonts w:ascii="Times New Roman" w:hAnsi="Times New Roman"/>
          <w:b/>
          <w:sz w:val="28"/>
          <w:szCs w:val="28"/>
        </w:rPr>
        <w:t xml:space="preserve">1. Общие положения</w:t>
      </w:r>
      <w:r/>
    </w:p>
    <w:p>
      <w:pPr>
        <w:pStyle w:val="636"/>
        <w:ind w:left="0" w:right="0" w:firstLine="567"/>
        <w:jc w:val="both"/>
        <w:spacing w:line="276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1.1. Настоящая методика оценки эффективности налоговых расходов Волокского сельского поселения (далее - Методика) опред</w:t>
      </w:r>
      <w:r>
        <w:rPr>
          <w:rFonts w:ascii="Times New Roman" w:hAnsi="Times New Roman"/>
          <w:sz w:val="28"/>
          <w:szCs w:val="28"/>
        </w:rPr>
        <w:t xml:space="preserve">еляет правила проведения оценки эффективности налоговых расходов Волокского сельского поселения в виде налоговых льгот, предусмотренных решением Совета депутатов Волокского сельского поселения от 21.12.2021 №53  «О налоге на имущество физических лиц»,  от </w:t>
      </w:r>
      <w:bookmarkStart w:id="1" w:name="_Hlk159246322"/>
      <w:r>
        <w:rPr>
          <w:rFonts w:ascii="Times New Roman" w:hAnsi="Times New Roman"/>
          <w:sz w:val="28"/>
          <w:szCs w:val="28"/>
        </w:rPr>
        <w:t xml:space="preserve">05.02.2020 № 165 «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 земельном налоге» (в редакции от 28.10.21 г. № 43, от 29.08.22 г. № 82, от 30.08.23 г. № 125)</w:t>
      </w:r>
      <w:bookmarkEnd w:id="1"/>
      <w:r>
        <w:rPr>
          <w:rFonts w:ascii="Times New Roman" w:hAnsi="Times New Roman"/>
          <w:bCs/>
          <w:sz w:val="28"/>
          <w:szCs w:val="28"/>
          <w:lang w:eastAsia="en-US"/>
        </w:rPr>
        <w:t xml:space="preserve">.</w:t>
      </w:r>
      <w:r/>
    </w:p>
    <w:p>
      <w:pPr>
        <w:pStyle w:val="660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 Оценка </w:t>
      </w:r>
      <w:r>
        <w:rPr>
          <w:rFonts w:ascii="Times New Roman" w:hAnsi="Times New Roman"/>
          <w:sz w:val="28"/>
          <w:szCs w:val="28"/>
        </w:rPr>
        <w:t xml:space="preserve">эффективности налоговых расходов 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 Волокского сельского поселения.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1.3. Оценка эффективности применяется в отношении следующих налоговых расходов: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1.3.1. По земельному налогу в отношении категорий плательщиков, установленных пунктом 2.4 решения Совета депутатов Волокского сельского поселения от </w:t>
      </w:r>
      <w:bookmarkStart w:id="2" w:name="_Hlk159844128"/>
      <w:r>
        <w:rPr>
          <w:sz w:val="28"/>
          <w:szCs w:val="28"/>
        </w:rPr>
        <w:t xml:space="preserve">05.02.2020 № 165 «О земельном налоге» (в редакции от 28.10.21 г. № 43, от 29.08.22 г. № 82, от 30.08.23 г. № 125).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1.3.2. По</w:t>
      </w:r>
      <w:r>
        <w:rPr>
          <w:bCs/>
          <w:sz w:val="28"/>
          <w:szCs w:val="28"/>
          <w:lang w:eastAsia="en-US"/>
        </w:rPr>
        <w:t xml:space="preserve"> </w:t>
      </w:r>
      <w:bookmarkEnd w:id="2"/>
      <w:r>
        <w:rPr>
          <w:bCs/>
          <w:sz w:val="28"/>
          <w:szCs w:val="28"/>
          <w:lang w:eastAsia="en-US"/>
        </w:rPr>
        <w:t xml:space="preserve">налогу на имущество физических лиц в отношении категорий плательщиков, установленных пунктом 4 решения </w:t>
      </w:r>
      <w:r>
        <w:rPr>
          <w:sz w:val="28"/>
          <w:szCs w:val="28"/>
        </w:rPr>
        <w:t xml:space="preserve">решением Совета депутатов Волокского сельского поселения от </w:t>
      </w:r>
      <w:bookmarkStart w:id="3" w:name="_Hlk159844090"/>
      <w:r>
        <w:rPr>
          <w:sz w:val="28"/>
          <w:szCs w:val="28"/>
        </w:rPr>
        <w:t xml:space="preserve">21.12.2021 №53</w:t>
      </w:r>
      <w:bookmarkEnd w:id="3"/>
      <w:r>
        <w:rPr>
          <w:sz w:val="28"/>
          <w:szCs w:val="28"/>
        </w:rPr>
        <w:t xml:space="preserve"> «О налоге на имущество физических лиц».</w:t>
      </w:r>
      <w:r/>
    </w:p>
    <w:p>
      <w:pPr>
        <w:pStyle w:val="648"/>
        <w:ind w:left="0" w:right="0" w:firstLine="567"/>
        <w:jc w:val="both"/>
        <w:spacing w:before="240" w:after="2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0" w:right="0" w:firstLine="0"/>
        <w:jc w:val="center"/>
      </w:pPr>
      <w:r>
        <w:rPr>
          <w:b/>
          <w:sz w:val="28"/>
          <w:szCs w:val="28"/>
        </w:rPr>
        <w:t xml:space="preserve">2. Порядок проведения оценки эффективности налоговых расходов</w:t>
      </w:r>
      <w:r/>
    </w:p>
    <w:p>
      <w:pPr>
        <w:pStyle w:val="648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        </w:t>
      </w:r>
      <w:r>
        <w:rPr>
          <w:rFonts w:ascii="Times New Roman" w:hAnsi="Times New Roman"/>
          <w:sz w:val="28"/>
          <w:szCs w:val="28"/>
        </w:rPr>
        <w:t xml:space="preserve">2.1. Оценка эффективности налоговых расходов включает: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- оценку целесообразности налоговых расходов </w:t>
      </w:r>
      <w:bookmarkStart w:id="4" w:name="_Hlk168992673"/>
      <w:r>
        <w:rPr>
          <w:rFonts w:ascii="Times New Roman" w:hAnsi="Times New Roman"/>
          <w:sz w:val="28"/>
          <w:szCs w:val="28"/>
        </w:rPr>
        <w:t xml:space="preserve">Волокского сельского поселения</w:t>
      </w:r>
      <w:bookmarkEnd w:id="4"/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- оценку результативности налоговых расходов Волокского сельского поселения.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        </w:t>
      </w:r>
      <w:r>
        <w:rPr>
          <w:rFonts w:ascii="Times New Roman" w:hAnsi="Times New Roman"/>
          <w:sz w:val="28"/>
          <w:szCs w:val="28"/>
        </w:rPr>
        <w:t xml:space="preserve">2.2. Критериями целесообразности налоговых расходов Волокского сельского поселения являются: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-соответствие налоговых расходов сельского поселения целям социально-экономического развития Волокского сельского поселения, не относящимся к муниципальным программам Волокского сельского поселения;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-востребованность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льготы. 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При необходимости куратором налоговых расходов могут быть установлены иные критерии целесообразности предоставления льгот для плательщиков.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2.3. Оценка целесообразности налоговых расходов осуществляется по критерию востребованности плательщиками предоставленных льгот.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2.4. Оценка востребованности плательщиками предоставленных налоговых расходов обусловлена фактическим количеством плательщиков, воспользовавшихся правом на налоговую льготу.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     </w:t>
      </w:r>
      <w:r>
        <w:rPr>
          <w:rFonts w:ascii="Times New Roman" w:hAnsi="Times New Roman"/>
          <w:sz w:val="28"/>
          <w:szCs w:val="28"/>
        </w:rPr>
        <w:t xml:space="preserve">Востребованность (V) плательщиком предоставленных налоговых льгот рассчитывается по формуле: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V= (K1:K0) * 100%, где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K1</w:t>
        <w:tab/>
        <w:t xml:space="preserve">-</w:t>
        <w:tab/>
        <w:t xml:space="preserve">количество плательщиков, воспользовавшихся правом на налоговую льготу;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К0</w:t>
        <w:tab/>
        <w:t xml:space="preserve">-</w:t>
        <w:tab/>
        <w:t xml:space="preserve">общая численность плательщиков, имеющих право на налоговую льготу.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      </w:t>
      </w:r>
      <w:r>
        <w:rPr>
          <w:rFonts w:ascii="Times New Roman" w:hAnsi="Times New Roman"/>
          <w:sz w:val="28"/>
          <w:szCs w:val="28"/>
        </w:rPr>
        <w:t xml:space="preserve">Под общей численностью плательщиков понимается количество плательщиков, потенциально имеющих право на получение данной льготы.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      </w:t>
      </w:r>
      <w:r>
        <w:rPr>
          <w:rFonts w:ascii="Times New Roman" w:hAnsi="Times New Roman"/>
          <w:sz w:val="28"/>
          <w:szCs w:val="28"/>
        </w:rPr>
        <w:t xml:space="preserve">Общая численность плательщиков определяется на основании данных Росстата, Фонда пенсионного и социального страхования по Новгородской области и иных источников информации.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      </w:t>
      </w:r>
      <w:r>
        <w:rPr>
          <w:rFonts w:ascii="Times New Roman" w:hAnsi="Times New Roman"/>
          <w:sz w:val="28"/>
          <w:szCs w:val="28"/>
        </w:rPr>
        <w:t xml:space="preserve">Налоговая льгота считается востребованной при достижении порогового значения востребованности в размере 10 процентов.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      </w:t>
      </w:r>
      <w:r>
        <w:rPr>
          <w:rFonts w:ascii="Times New Roman" w:hAnsi="Times New Roman"/>
          <w:sz w:val="28"/>
          <w:szCs w:val="28"/>
        </w:rPr>
        <w:t xml:space="preserve">В случае если значение востребованности ниже порогового значения, но наличие льготы необходимо для повышения уровня и кач</w:t>
      </w:r>
      <w:r>
        <w:rPr>
          <w:rFonts w:ascii="Times New Roman" w:hAnsi="Times New Roman"/>
          <w:sz w:val="28"/>
          <w:szCs w:val="28"/>
        </w:rPr>
        <w:t xml:space="preserve">ества жизни граждан, нуждающихся в социальной поддержке, куратор налогового расхода может применить иной дополнительный показатель востребованности, который он должен отразить при формировании выводов по результатам оценки эффективности налогового расхода: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увязка налогового расхода с критерием нуждаемости;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предоставление налогового расхода категориям граждан, являющихся льготными категориями в соответствии с федеральным и (или) областным законодательством.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втором пункта 2.2, при котором льгота признается востребованной.</w:t>
      </w:r>
      <w:r/>
    </w:p>
    <w:p>
      <w:pPr>
        <w:pStyle w:val="660"/>
        <w:ind w:left="0" w:righ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          </w:t>
      </w:r>
      <w:r>
        <w:rPr>
          <w:rFonts w:ascii="Times New Roman" w:hAnsi="Times New Roman"/>
          <w:sz w:val="28"/>
          <w:szCs w:val="28"/>
        </w:rPr>
        <w:t xml:space="preserve">2.5. В случае несоответствия нал</w:t>
      </w:r>
      <w:r>
        <w:rPr>
          <w:rFonts w:ascii="Times New Roman" w:hAnsi="Times New Roman"/>
          <w:sz w:val="28"/>
          <w:szCs w:val="28"/>
        </w:rPr>
        <w:t xml:space="preserve">оговых расходов Волокского сельского поселения, хотя бы одному из критериев, указанному в пункте 2.2. настоящего раздела Администрация Волокского сельского поселения разрабатывает предложения о сохранении (уточнении, отмене) льгот для плательщиков налогов.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2.6. При проведении оценки результативности налоговых расходов, указанных в пункте 1.3 настоящей Методики, необходимо исходить из того, что данные налоговые расходы носят социальный, технический и стимулирующий характер .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2.7. Налоговый расход, которым не воспользовался ни один плательщик в течение 2 лет (за отчетный год и год, предшествующий отчетному), считается невостребованным и признается куратором неэффективным.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2.8. Оценка результативности налоговых расходов </w:t>
      </w:r>
      <w:bookmarkStart w:id="5" w:name="_Hlk168992093"/>
      <w:r>
        <w:rPr>
          <w:sz w:val="28"/>
          <w:szCs w:val="28"/>
        </w:rPr>
        <w:t xml:space="preserve">Волокского сельского поселения</w:t>
      </w:r>
      <w:bookmarkEnd w:id="5"/>
      <w:r>
        <w:rPr>
          <w:sz w:val="28"/>
          <w:szCs w:val="28"/>
        </w:rPr>
        <w:t xml:space="preserve"> включает оценку бюджетной эффективности налоговых расходов Волокского сельского поселения.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2.9. Оценка бюджетной эффективности налоговых расходов осуществляет</w:t>
      </w:r>
      <w:r>
        <w:rPr>
          <w:sz w:val="28"/>
          <w:szCs w:val="28"/>
        </w:rPr>
        <w:t xml:space="preserve">ся путем определения соотношения объема налоговых поступлений в бюджет города Боровичи, к объему выпадающих доходов в связи с предоставлением налогового расхода. Расчет коэффициента бюджетной эффективности налогового расходы (КБ) осуществляется по формуле: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Кб = НПi : Лi, где: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НПi</w:t>
        <w:tab/>
        <w:t xml:space="preserve">-</w:t>
        <w:tab/>
        <w:t xml:space="preserve">объем налоговых поступлений (налог на имущество, земельный налог) в бюджет Волокского сельского поселения ;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Лi</w:t>
        <w:tab/>
        <w:t xml:space="preserve">-</w:t>
        <w:tab/>
        <w:t xml:space="preserve">объем выпадающих доходов (налог на имущество, земельный налог) в связи с предоставлением налогового расхода.</w:t>
      </w:r>
      <w:r/>
    </w:p>
    <w:p>
      <w:pPr>
        <w:pStyle w:val="648"/>
        <w:ind w:left="0" w:right="0" w:firstLine="567"/>
        <w:jc w:val="both"/>
        <w:spacing w:before="240" w:after="200"/>
      </w:pPr>
      <w:r>
        <w:rPr>
          <w:sz w:val="28"/>
          <w:szCs w:val="28"/>
        </w:rPr>
        <w:t xml:space="preserve">Налоговый расход эффективен, если коэффициент бюджетной эффективности равен или больше 1, если показатель меньше 1 налоговый расход признается неэффективным.</w:t>
      </w:r>
      <w:r/>
    </w:p>
    <w:p>
      <w:pPr>
        <w:pStyle w:val="648"/>
        <w:contextualSpacing/>
        <w:ind w:left="0" w:right="0" w:firstLine="539"/>
        <w:keepLines/>
        <w:keepNext/>
        <w:spacing w:before="240" w:after="200"/>
      </w:pPr>
      <w:r>
        <w:rPr>
          <w:sz w:val="28"/>
          <w:szCs w:val="28"/>
        </w:rPr>
        <w:t xml:space="preserve">2.10. Результаты оценки эффективности налогового расхода должны содержать: 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  <w:r>
        <w:rPr>
          <w:sz w:val="28"/>
          <w:szCs w:val="28"/>
        </w:rPr>
        <w:t xml:space="preserve">                                                                       - выводы о достижении целевых характеристик (критериев целесообразности) налогового расхода;                                                                                             </w:t>
      </w:r>
      <w:r>
        <w:rPr>
          <w:sz w:val="28"/>
          <w:szCs w:val="28"/>
        </w:rPr>
        <w:t xml:space="preserve">                                                            - выводы о наличии или об отсутствии более результативных (менее затратных для бюджета Волокского сельского поселения) альтернативных механизмов достижения целей социально-экономического развития.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2.11. Выводы должны отражать является ли налоговый расход эффективным или неэффективным. По итогам оценки эффективности формируется вывод о необходимости сохранения, уточнения или отмене налоговых льгот, обуславливающих налоговые расходы.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2.12. Исходя из характера целей налоговых расходов, обуславливающих налоговые льготы, налоговые расходы могут относиться к следующим категориям: 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а) социальные налоговые расходы – налоговые расходы, указанные в пункте 1.3 настоящей методики оценки эффективности предоставленных налоговых расходов (налоговых льгот, пониже</w:t>
      </w:r>
      <w:r>
        <w:rPr>
          <w:sz w:val="28"/>
          <w:szCs w:val="28"/>
        </w:rPr>
        <w:t xml:space="preserve">нных налоговых ставок) в Волокском  сельском поселении. Целью налогового расхода освобождение от уплаты налога с целью социальной поддержки отдельных категорий граждан, повышения качества жизни жителей Волокского сельского поселения. Применение налогового </w:t>
      </w:r>
      <w:r>
        <w:rPr>
          <w:sz w:val="28"/>
          <w:szCs w:val="28"/>
        </w:rPr>
        <w:t xml:space="preserve">расхода способствует реализации мероприятий по достижению целей и задач Стратегии социально-экономического развития Волокского сельского поселения. Оценка востребованности данных налоговых расходов определяется в соответствии с пунктом 2.4 данной Методики.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Оценка результативности предоставления социальных налоговых расходов производится на основании влияния социальных налоговых расходов и достижение целей социально-экономического развития Волокского сельского поселения. 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В качестве критерия результативности определяется не менее одного показателя (индикатора), устанавливаемого куратором, на значение которого оказывает влияние рассматривае</w:t>
      </w:r>
      <w:r>
        <w:rPr>
          <w:sz w:val="28"/>
          <w:szCs w:val="28"/>
        </w:rPr>
        <w:t xml:space="preserve">мая социальная налоговая льгота, непосредственным образом связанного с ожидаемыми конечными результатами  достижения целей, определенных при предоставлении социальной налоговой льготы (для непрограммных и (или) нераспределенных социальных налоговых льгот).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При условии, если социальная налоговая льгота целесообразна и результативна, социальная налоговая льгота является эффективной. При невыполнении одного из приведенных условий социальная налоговая льгота признается неэффективно.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Конечной целью социальных налоговых расходов является поддержка населения.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Социальный налоговый расход считается целесообразной в случае соответствия хотя бы одному из приведенных </w:t>
      </w:r>
      <w:r>
        <w:rPr>
          <w:sz w:val="28"/>
          <w:szCs w:val="28"/>
        </w:rPr>
        <w:t xml:space="preserve">обязательных критериев. В случае несоответствия ни одному из приведенных обязательных критериев куратору надлежит рекомендовать рассматриваемый социальный налоговый расход к отмене либо сформулировать предложения по совершенствованию механизма ее действия;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б) технические (финансовые) налоговые расходы – целью налогового расхода является освобождение от уплаты на</w:t>
      </w:r>
      <w:r>
        <w:rPr>
          <w:sz w:val="28"/>
          <w:szCs w:val="28"/>
        </w:rPr>
        <w:t xml:space="preserve">лога с целью исключения встречных финансовых потоков, оптимизации бюджетных расходов. Применение налогового расхода способствует реализации мероприятий по достижению целей и задач Стратегии социально-экономического развития Волокского сельского поселения. 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в) Стимулирующие налоговые расходы – целью налогового расхода является поддержка (индивидуальных предпринимателей) субъектов малого и среднего пред</w:t>
      </w:r>
      <w:r>
        <w:rPr>
          <w:sz w:val="28"/>
          <w:szCs w:val="28"/>
        </w:rPr>
        <w:t xml:space="preserve">принимательства. Применение стимулирующего налогового расхода способствует стимулированию экономической активности субъектов предпринимательской деятельности и последующее увеличение (предотвращение снижения) доходов бюджета Волокского сельского поселения.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Оценку результативности налоговых расходов допускается не проводить в отношении технических налоговых расходов.</w:t>
      </w:r>
      <w:r/>
    </w:p>
    <w:p>
      <w:pPr>
        <w:pStyle w:val="648"/>
        <w:ind w:left="0" w:right="0" w:firstLine="540"/>
        <w:jc w:val="both"/>
        <w:spacing w:before="240" w:after="200"/>
      </w:pPr>
      <w:r>
        <w:rPr>
          <w:sz w:val="28"/>
          <w:szCs w:val="28"/>
        </w:rPr>
        <w:t xml:space="preserve">2.13. Результаты оценки эффективности налогового расхода Волокского сельского поселения оформляются по форме согласно приложению к настоящей Методике.</w:t>
      </w:r>
      <w:r/>
    </w:p>
    <w:p>
      <w:pPr>
        <w:pStyle w:val="648"/>
        <w:ind w:left="0" w:righ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0" w:righ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ind w:left="5103" w:right="0" w:firstLine="0"/>
        <w:jc w:val="center"/>
        <w:spacing w:before="0" w:after="120" w:line="240" w:lineRule="exact"/>
      </w:pPr>
      <w:r>
        <w:rPr>
          <w:rFonts w:ascii="Times New Roman" w:hAnsi="Times New Roman"/>
          <w:bCs/>
          <w:sz w:val="28"/>
          <w:szCs w:val="28"/>
        </w:rPr>
        <w:t xml:space="preserve">Приложение № 1</w:t>
      </w:r>
      <w:r/>
    </w:p>
    <w:p>
      <w:pPr>
        <w:pStyle w:val="636"/>
        <w:ind w:left="5103" w:right="0" w:firstLine="0"/>
        <w:spacing w:line="240" w:lineRule="exact"/>
      </w:pPr>
      <w:r>
        <w:rPr>
          <w:rFonts w:ascii="Times New Roman" w:hAnsi="Times New Roman"/>
          <w:bCs/>
          <w:sz w:val="28"/>
          <w:szCs w:val="28"/>
        </w:rPr>
        <w:t xml:space="preserve">к Методике оценки эффективности налоговых расходов </w:t>
      </w:r>
      <w:r>
        <w:rPr>
          <w:rFonts w:ascii="Times New Roman" w:hAnsi="Times New Roman"/>
          <w:sz w:val="28"/>
          <w:szCs w:val="28"/>
        </w:rPr>
        <w:t xml:space="preserve">Волокского сельского поселения</w:t>
      </w:r>
      <w:r/>
    </w:p>
    <w:p>
      <w:pPr>
        <w:pStyle w:val="636"/>
        <w:ind w:left="0" w:right="0" w:firstLine="709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6"/>
        <w:ind w:left="0" w:right="0" w:firstLine="0"/>
        <w:jc w:val="center"/>
        <w:spacing w:line="240" w:lineRule="exact"/>
      </w:pPr>
      <w:r>
        <w:rPr>
          <w:rFonts w:ascii="Times New Roman" w:hAnsi="Times New Roman"/>
          <w:b/>
          <w:sz w:val="28"/>
          <w:szCs w:val="28"/>
        </w:rPr>
        <w:t xml:space="preserve">1. Оценка целесообразности налогового расхода</w:t>
      </w:r>
      <w:r/>
    </w:p>
    <w:p>
      <w:pPr>
        <w:pStyle w:val="636"/>
        <w:ind w:left="0" w:right="0" w:firstLine="709"/>
        <w:jc w:val="both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73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1842"/>
        <w:gridCol w:w="1560"/>
        <w:gridCol w:w="2692"/>
        <w:gridCol w:w="212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pStyle w:val="636"/>
              <w:ind w:left="-142" w:right="-113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636"/>
              <w:ind w:left="-105" w:right="-106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налогового расхода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636"/>
              <w:ind w:left="-105" w:right="-106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категории плательщиков налогов, для которых предусмотрены налоговые льготы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2" w:type="dxa"/>
            <w:textDirection w:val="lrTb"/>
            <w:noWrap w:val="false"/>
          </w:tcPr>
          <w:p>
            <w:pPr>
              <w:pStyle w:val="636"/>
              <w:ind w:left="0" w:right="0" w:hanging="14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целесообразности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pStyle w:val="636"/>
              <w:ind w:left="-112" w:right="-138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результативности налогового расхода (целесообразен/ нецелесообразен)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pStyle w:val="636"/>
              <w:ind w:left="-142" w:right="-113" w:firstLine="0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pStyle w:val="636"/>
              <w:ind w:left="0" w:right="0" w:firstLine="2"/>
              <w:jc w:val="center"/>
              <w:spacing w:before="12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налогового расхода целям социально-экономического развития (соответствует/не соответствует)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2" w:type="dxa"/>
            <w:textDirection w:val="lrTb"/>
            <w:noWrap w:val="false"/>
          </w:tcPr>
          <w:p>
            <w:pPr>
              <w:pStyle w:val="636"/>
              <w:ind w:left="-108" w:right="-106" w:firstLine="0"/>
              <w:jc w:val="center"/>
              <w:spacing w:before="12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-142" w:right="-113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2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-142" w:right="-113" w:firstLine="0"/>
              <w:jc w:val="center"/>
              <w:spacing w:before="0" w:after="200" w:line="240" w:lineRule="exact"/>
              <w:widowControl w:val="of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2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-142" w:right="-113" w:firstLine="0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2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6"/>
        <w:ind w:left="0" w:right="0" w:firstLine="709"/>
        <w:jc w:val="both"/>
        <w:spacing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left="0" w:right="0"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left="0" w:right="0"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left="0" w:right="0"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left="0" w:right="0"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left="0" w:right="0" w:firstLine="709"/>
        <w:jc w:val="center"/>
        <w:spacing w:line="240" w:lineRule="exact"/>
      </w:pPr>
      <w:r>
        <w:rPr>
          <w:rFonts w:ascii="Times New Roman" w:hAnsi="Times New Roman"/>
          <w:b/>
          <w:sz w:val="28"/>
          <w:szCs w:val="28"/>
        </w:rPr>
        <w:t xml:space="preserve">2. Оценка результативности налогового расхода</w:t>
      </w:r>
      <w:r/>
    </w:p>
    <w:p>
      <w:pPr>
        <w:pStyle w:val="636"/>
        <w:ind w:left="0" w:right="0"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73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1842"/>
        <w:gridCol w:w="1702"/>
        <w:gridCol w:w="1133"/>
        <w:gridCol w:w="851"/>
        <w:gridCol w:w="1134"/>
        <w:gridCol w:w="1558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-142" w:right="-110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36"/>
              <w:ind w:left="-105" w:right="-114" w:firstLine="34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налогового расхода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636"/>
              <w:ind w:left="-105" w:right="-114" w:firstLine="34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категории плательщиков налогов, для которых предусмотрены налоговые льготы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textDirection w:val="lrTb"/>
            <w:noWrap w:val="false"/>
          </w:tcPr>
          <w:p>
            <w:pPr>
              <w:pStyle w:val="636"/>
              <w:ind w:left="-105" w:right="-114" w:hanging="48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Индикатор достижения налогового расхода целям социально-экономического развития (соответствует/не соответствует)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textDirection w:val="lrTb"/>
            <w:noWrap w:val="false"/>
          </w:tcPr>
          <w:p>
            <w:pPr>
              <w:pStyle w:val="636"/>
              <w:ind w:left="-105" w:right="-114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показателя прошлого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636"/>
              <w:ind w:left="-105" w:right="-114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показателя отчетного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636"/>
              <w:ind w:left="-105" w:right="-114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результативности налогового расхода    гр.6/гр.5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636"/>
              <w:ind w:left="-105" w:right="-114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результативности налогового расхода (результативен/нерезультативен)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-27" w:right="-113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6"/>
              <w:ind w:left="0" w:right="0" w:firstLine="34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6"/>
              <w:ind w:left="0" w:right="0" w:firstLine="459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636"/>
              <w:ind w:left="0" w:right="0" w:firstLine="709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36"/>
              <w:ind w:left="0" w:right="0" w:firstLine="458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6"/>
              <w:ind w:left="0" w:right="0" w:firstLine="459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6"/>
              <w:ind w:left="0" w:right="0" w:firstLine="459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pStyle w:val="636"/>
              <w:ind w:left="0" w:right="0" w:firstLine="709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-27" w:right="-113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0" w:right="0" w:firstLine="0"/>
              <w:jc w:val="both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636"/>
              <w:ind w:left="0" w:right="0" w:firstLine="709"/>
              <w:jc w:val="both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6"/>
        <w:ind w:left="0" w:right="0" w:firstLine="0"/>
        <w:jc w:val="center"/>
        <w:spacing w:line="240" w:lineRule="exac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6"/>
        <w:ind w:left="0" w:right="0" w:firstLine="0"/>
        <w:jc w:val="center"/>
        <w:spacing w:line="240" w:lineRule="exact"/>
      </w:pPr>
      <w:r>
        <w:rPr>
          <w:rFonts w:ascii="Times New Roman" w:hAnsi="Times New Roman"/>
          <w:b/>
          <w:sz w:val="28"/>
          <w:szCs w:val="28"/>
        </w:rPr>
        <w:t xml:space="preserve">3. Оценка эффективности налогового расхода.</w:t>
      </w:r>
      <w:r/>
    </w:p>
    <w:p>
      <w:pPr>
        <w:pStyle w:val="636"/>
        <w:ind w:left="0" w:right="0" w:firstLine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73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118"/>
        <w:gridCol w:w="3401"/>
        <w:gridCol w:w="3119"/>
      </w:tblGrid>
      <w:tr>
        <w:tblPrEx/>
        <w:trPr>
          <w:trHeight w:val="3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-142" w:right="-104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Style w:val="636"/>
              <w:ind w:left="-104" w:right="-104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категории плательщиков налогов, для которых предусмотрены налоговые льготы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textDirection w:val="lrTb"/>
            <w:noWrap w:val="false"/>
          </w:tcPr>
          <w:p>
            <w:pPr>
              <w:pStyle w:val="636"/>
              <w:ind w:left="-60" w:right="-104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целесообразности налогового расхода (целесообразно/нецелесообразно)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36"/>
              <w:ind w:left="-103" w:right="-104" w:firstLine="0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 результативности налогового расхода (результативен/ нерезультативен)</w:t>
            </w:r>
            <w:r/>
          </w:p>
          <w:p>
            <w:pPr>
              <w:pStyle w:val="636"/>
              <w:ind w:left="-79" w:right="-104" w:firstLine="0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pStyle w:val="636"/>
              <w:ind w:left="-142" w:right="-113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36"/>
              <w:ind w:left="-142" w:right="-113" w:firstLine="37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636"/>
              <w:ind w:left="-142" w:right="-113" w:firstLine="82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636"/>
              <w:ind w:left="-142" w:right="-113" w:firstLine="82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-142" w:right="-110" w:firstLine="0"/>
              <w:jc w:val="center"/>
              <w:spacing w:before="0" w:after="200"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0" w:line="240" w:lineRule="exact"/>
              <w:widowControl w:val="off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636"/>
              <w:ind w:left="-142" w:right="-110" w:firstLine="0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36"/>
              <w:ind w:left="0" w:right="0" w:firstLine="36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6"/>
        <w:ind w:left="0" w:right="0" w:firstLine="0"/>
        <w:jc w:val="center"/>
        <w:spacing w:before="0" w:after="120" w:line="240" w:lineRule="exact"/>
        <w:widowControl w:val="off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_____________________________</w:t>
      </w:r>
      <w:r/>
    </w:p>
    <w:p>
      <w:pPr>
        <w:pStyle w:val="636"/>
        <w:ind w:left="0" w:right="0" w:firstLine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8"/>
        <w:ind w:left="0" w:righ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0" w:right="0" w:firstLine="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5" w:right="849" w:bottom="993" w:left="1134" w:header="0" w:footer="0" w:gutter="0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0" w:right="0" w:firstLine="0"/>
      </w:pPr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133" w:right="1440" w:bottom="566" w:left="144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ind w:left="0" w:right="0" w:firstLine="0"/>
      <w:spacing w:before="0" w:after="200" w:line="276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ind w:left="0" w:right="0" w:firstLine="0"/>
      <w:spacing w:before="0" w:after="200" w:line="276" w:lineRule="auto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7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7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7"/>
    <w:link w:val="658"/>
    <w:uiPriority w:val="99"/>
  </w:style>
  <w:style w:type="character" w:styleId="45">
    <w:name w:val="Footer Char"/>
    <w:basedOn w:val="637"/>
    <w:link w:val="659"/>
    <w:uiPriority w:val="99"/>
  </w:style>
  <w:style w:type="character" w:styleId="47">
    <w:name w:val="Caption Char"/>
    <w:basedOn w:val="645"/>
    <w:link w:val="659"/>
    <w:uiPriority w:val="99"/>
  </w:style>
  <w:style w:type="table" w:styleId="48">
    <w:name w:val="Table Grid"/>
    <w:basedOn w:val="6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7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7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character" w:styleId="637" w:default="1">
    <w:name w:val="Default Paragraph Font"/>
    <w:qFormat/>
  </w:style>
  <w:style w:type="character" w:styleId="638">
    <w:name w:val="Верхний колонтитул Знак"/>
    <w:basedOn w:val="637"/>
    <w:qFormat/>
    <w:rPr>
      <w:rFonts w:ascii="Times New Roman" w:hAnsi="Times New Roman" w:eastAsia="Times New Roman"/>
      <w:sz w:val="24"/>
      <w:szCs w:val="24"/>
    </w:rPr>
  </w:style>
  <w:style w:type="character" w:styleId="639">
    <w:name w:val="Нижний колонтитул Знак"/>
    <w:basedOn w:val="637"/>
    <w:qFormat/>
    <w:rPr>
      <w:rFonts w:ascii="Times New Roman" w:hAnsi="Times New Roman" w:eastAsia="Times New Roman"/>
      <w:sz w:val="24"/>
      <w:szCs w:val="24"/>
    </w:rPr>
  </w:style>
  <w:style w:type="character" w:styleId="640">
    <w:name w:val="Текст выноски Знак"/>
    <w:basedOn w:val="637"/>
    <w:qFormat/>
    <w:rPr>
      <w:rFonts w:ascii="Tahoma" w:hAnsi="Tahoma" w:eastAsia="Times New Roman" w:cs="Tahoma"/>
      <w:sz w:val="16"/>
      <w:szCs w:val="16"/>
    </w:rPr>
  </w:style>
  <w:style w:type="character" w:styleId="641">
    <w:name w:val="Hyperlink"/>
    <w:rPr>
      <w:color w:val="000080"/>
      <w:u w:val="single"/>
    </w:rPr>
  </w:style>
  <w:style w:type="paragraph" w:styleId="642">
    <w:name w:val="Heading"/>
    <w:basedOn w:val="636"/>
    <w:next w:val="64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43">
    <w:name w:val="Body Text"/>
    <w:basedOn w:val="636"/>
    <w:pPr>
      <w:spacing w:before="0" w:after="140" w:line="276" w:lineRule="auto"/>
    </w:pPr>
  </w:style>
  <w:style w:type="paragraph" w:styleId="644">
    <w:name w:val="List"/>
    <w:basedOn w:val="643"/>
  </w:style>
  <w:style w:type="paragraph" w:styleId="645">
    <w:name w:val="Caption"/>
    <w:basedOn w:val="63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46">
    <w:name w:val="Index"/>
    <w:basedOn w:val="636"/>
    <w:qFormat/>
    <w:pPr>
      <w:suppressLineNumbers/>
    </w:pPr>
  </w:style>
  <w:style w:type="paragraph" w:styleId="647" w:default="1">
    <w:name w:val="Normal Table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648">
    <w:name w:val="ConsPlusNormal"/>
    <w:qFormat/>
    <w:pPr>
      <w:jc w:val="left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49">
    <w:name w:val="ConsPlusNonformat"/>
    <w:qFormat/>
    <w:pPr>
      <w:jc w:val="left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50">
    <w:name w:val="ConsPlusTitle"/>
    <w:qFormat/>
    <w:pPr>
      <w:jc w:val="left"/>
      <w:widowControl w:val="off"/>
    </w:pPr>
    <w:rPr>
      <w:rFonts w:ascii="Arial" w:hAnsi="Arial" w:eastAsia="Times New Roman" w:cs="Arial"/>
      <w:b/>
      <w:bCs/>
      <w:color w:val="auto"/>
      <w:sz w:val="24"/>
      <w:szCs w:val="24"/>
      <w:lang w:val="ru-RU" w:eastAsia="ru-RU" w:bidi="ar-SA"/>
    </w:rPr>
  </w:style>
  <w:style w:type="paragraph" w:styleId="651">
    <w:name w:val="ConsPlusCell"/>
    <w:qFormat/>
    <w:pPr>
      <w:jc w:val="left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52">
    <w:name w:val="ConsPlusDocList"/>
    <w:qFormat/>
    <w:pPr>
      <w:jc w:val="left"/>
      <w:widowControl w:val="off"/>
    </w:pPr>
    <w:rPr>
      <w:rFonts w:ascii="Tahoma" w:hAnsi="Tahoma" w:eastAsia="Times New Roman" w:cs="Tahoma"/>
      <w:color w:val="auto"/>
      <w:sz w:val="18"/>
      <w:szCs w:val="18"/>
      <w:lang w:val="ru-RU" w:eastAsia="ru-RU" w:bidi="ar-SA"/>
    </w:rPr>
  </w:style>
  <w:style w:type="paragraph" w:styleId="653">
    <w:name w:val="ConsPlusTitlePage"/>
    <w:qFormat/>
    <w:pPr>
      <w:jc w:val="left"/>
      <w:widowControl w:val="off"/>
    </w:pPr>
    <w:rPr>
      <w:rFonts w:ascii="Tahoma" w:hAnsi="Tahoma" w:eastAsia="Times New Roman" w:cs="Tahoma"/>
      <w:color w:val="auto"/>
      <w:sz w:val="24"/>
      <w:szCs w:val="24"/>
      <w:lang w:val="ru-RU" w:eastAsia="ru-RU" w:bidi="ar-SA"/>
    </w:rPr>
  </w:style>
  <w:style w:type="paragraph" w:styleId="654">
    <w:name w:val="ConsPlusJurTerm"/>
    <w:qFormat/>
    <w:pPr>
      <w:jc w:val="left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55">
    <w:name w:val="ConsPlusTextList"/>
    <w:qFormat/>
    <w:pPr>
      <w:jc w:val="left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56">
    <w:name w:val="ConsPlusTextList1"/>
    <w:qFormat/>
    <w:pPr>
      <w:jc w:val="left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57">
    <w:name w:val="Header and Footer"/>
    <w:basedOn w:val="636"/>
    <w:qFormat/>
  </w:style>
  <w:style w:type="paragraph" w:styleId="658">
    <w:name w:val="Header"/>
    <w:basedOn w:val="636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59">
    <w:name w:val="Footer"/>
    <w:basedOn w:val="636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60">
    <w:name w:val="No Spacing"/>
    <w:qFormat/>
    <w:pPr>
      <w:jc w:val="left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661">
    <w:name w:val="Balloon Text"/>
    <w:basedOn w:val="636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62">
    <w:name w:val="Normal (Web)"/>
    <w:basedOn w:val="636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numbering" w:styleId="197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wmf"/><Relationship Id="rId12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3" Type="http://schemas.openxmlformats.org/officeDocument/2006/relationships/hyperlink" Target="consultantplus://offline/ref=FF885A10E2B19CE194644743E15DBB9794E6D7DC8CBA72F9FD5E4426EDA7F4C68007AD34580A5FC0DBD854AB125BC1F52B29C317E6EA35D0f1C9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КонсультантПлюс Версия 4018.00.50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Майорского сельского поселения Орловского района от 24.07.2020 N 68"Об утверждении методики оценки эффективности налоговых расходов Майорского сельского поселения"</dc:title>
  <dc:subject/>
  <dc:creator>Наталья</dc:creator>
  <dc:description/>
  <dc:language>en-US</dc:language>
  <cp:lastModifiedBy>Наталья Николаевна Петрова</cp:lastModifiedBy>
  <cp:revision>12</cp:revision>
  <dcterms:created xsi:type="dcterms:W3CDTF">2024-02-19T08:50:00Z</dcterms:created>
  <dcterms:modified xsi:type="dcterms:W3CDTF">2024-06-11T09:27:34Z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ЗАКУПКИ</vt:lpwstr>
  </property>
</Properties>
</file>